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1"/>
        </w:numPr>
        <w:jc w:val="center"/>
        <w:rPr>
          <w:rFonts w:hint="eastAsia" w:ascii="宋体" w:hAnsi="宋体" w:cs="宋体"/>
        </w:rPr>
      </w:pPr>
      <w:bookmarkStart w:id="0" w:name="_Toc44229895"/>
      <w:r>
        <w:rPr>
          <w:rFonts w:hint="eastAsia" w:ascii="宋体" w:hAnsi="宋体" w:cs="宋体"/>
        </w:rPr>
        <w:t>采购需求</w:t>
      </w:r>
      <w:bookmarkEnd w:id="0"/>
    </w:p>
    <w:p>
      <w:pPr>
        <w:spacing w:line="440" w:lineRule="exact"/>
        <w:jc w:val="center"/>
        <w:rPr>
          <w:rFonts w:hint="eastAsia" w:ascii="宋体" w:hAnsi="宋体" w:cs="宋体"/>
          <w:b/>
          <w:sz w:val="32"/>
          <w:szCs w:val="32"/>
        </w:rPr>
      </w:pPr>
      <w:r>
        <w:rPr>
          <w:rFonts w:hint="eastAsia" w:ascii="宋体" w:hAnsi="宋体" w:cs="宋体"/>
          <w:b/>
          <w:sz w:val="32"/>
          <w:szCs w:val="32"/>
        </w:rPr>
        <w:t>采购项目技术规格、参数及要求</w:t>
      </w:r>
    </w:p>
    <w:p>
      <w:pPr>
        <w:spacing w:line="440" w:lineRule="exact"/>
        <w:jc w:val="left"/>
        <w:rPr>
          <w:rFonts w:hint="eastAsia" w:ascii="宋体" w:hAnsi="宋体" w:cs="宋体"/>
          <w:szCs w:val="21"/>
        </w:rPr>
      </w:pPr>
    </w:p>
    <w:p>
      <w:pPr>
        <w:spacing w:line="360" w:lineRule="auto"/>
        <w:rPr>
          <w:rFonts w:hint="eastAsia" w:ascii="宋体" w:hAnsi="宋体" w:cs="宋体"/>
          <w:szCs w:val="21"/>
        </w:rPr>
      </w:pPr>
      <w:r>
        <w:rPr>
          <w:rFonts w:hint="eastAsia" w:ascii="宋体" w:hAnsi="宋体" w:cs="宋体"/>
          <w:szCs w:val="21"/>
        </w:rPr>
        <w:t>说明：</w:t>
      </w:r>
    </w:p>
    <w:p>
      <w:pPr>
        <w:spacing w:line="360" w:lineRule="auto"/>
        <w:ind w:firstLine="409" w:firstLineChars="195"/>
        <w:rPr>
          <w:rFonts w:hint="eastAsia" w:ascii="宋体" w:hAnsi="宋体" w:cs="宋体"/>
        </w:rPr>
      </w:pPr>
      <w:r>
        <w:rPr>
          <w:rFonts w:hint="eastAsia" w:ascii="宋体" w:hAnsi="宋体" w:cs="宋体"/>
          <w:szCs w:val="21"/>
        </w:rPr>
        <w:t>1、供应商应对磋商内容所涉及的专利承担法律责任，并负责保护业主的利益不受任何损害。一切由于文字、商标、技术和软件专利授权引起的法律裁决、诉讼和赔偿费用均由成交供应商负责。</w:t>
      </w:r>
      <w:r>
        <w:rPr>
          <w:rFonts w:hint="eastAsia" w:ascii="宋体" w:hAnsi="宋体" w:cs="宋体"/>
        </w:rPr>
        <w:t>同时，具有产品专利的供应商应在其响应文件中提供与其自有产品专利相关的有效证明材料，否则，不能就其产品的专利在本项目磋商过程中被侵权问题而提出异议。</w:t>
      </w:r>
    </w:p>
    <w:p>
      <w:pPr>
        <w:spacing w:line="360" w:lineRule="auto"/>
        <w:rPr>
          <w:rFonts w:hint="eastAsia" w:ascii="宋体" w:hAnsi="宋体" w:cs="宋体"/>
          <w:szCs w:val="21"/>
        </w:rPr>
      </w:pPr>
      <w:r>
        <w:rPr>
          <w:rFonts w:hint="eastAsia" w:ascii="宋体" w:hAnsi="宋体" w:cs="宋体"/>
          <w:szCs w:val="21"/>
        </w:rPr>
        <w:t xml:space="preserve">    2、供应商应注意下列内容：</w:t>
      </w:r>
    </w:p>
    <w:p>
      <w:pPr>
        <w:spacing w:line="360" w:lineRule="auto"/>
        <w:ind w:firstLine="420" w:firstLineChars="200"/>
        <w:jc w:val="left"/>
        <w:rPr>
          <w:rFonts w:hint="eastAsia" w:ascii="宋体" w:hAnsi="宋体" w:cs="宋体"/>
          <w:szCs w:val="21"/>
        </w:rPr>
      </w:pPr>
      <w:r>
        <w:rPr>
          <w:rFonts w:hint="eastAsia" w:ascii="宋体" w:hAnsi="宋体" w:cs="宋体"/>
          <w:szCs w:val="21"/>
        </w:rPr>
        <w:t>（1）竞争性磋商文件中带“▲</w:t>
      </w:r>
      <w:r>
        <w:rPr>
          <w:rFonts w:hint="eastAsia" w:ascii="宋体" w:hAnsi="宋体" w:cs="宋体"/>
          <w:kern w:val="0"/>
        </w:rPr>
        <w:t>”</w:t>
      </w:r>
      <w:r>
        <w:rPr>
          <w:rFonts w:hint="eastAsia" w:ascii="宋体" w:hAnsi="宋体" w:cs="宋体"/>
          <w:szCs w:val="21"/>
        </w:rPr>
        <w:t>的条款为本次采购的实质性的商务、技术或服务要求，供应商须满足或响应，若无法完全满足，将会被认定为磋商无效。</w:t>
      </w:r>
    </w:p>
    <w:p>
      <w:pPr>
        <w:tabs>
          <w:tab w:val="left" w:pos="180"/>
          <w:tab w:val="left" w:pos="1620"/>
        </w:tabs>
        <w:spacing w:line="360" w:lineRule="auto"/>
        <w:ind w:firstLine="420" w:firstLineChars="200"/>
        <w:rPr>
          <w:rFonts w:hint="eastAsia" w:ascii="宋体" w:hAnsi="宋体" w:cs="宋体"/>
          <w:b/>
          <w:bCs/>
          <w:szCs w:val="21"/>
        </w:rPr>
      </w:pPr>
      <w:r>
        <w:rPr>
          <w:rFonts w:hint="eastAsia" w:ascii="宋体" w:hAnsi="宋体" w:cs="宋体"/>
          <w:szCs w:val="21"/>
        </w:rPr>
        <w:t>（2）供应商须在响应文件中填写/应答服务技术要求，当响应文件中服务技术要求与竞争性磋商文件中服务技术要求有偏离时，须在“偏离”栏内如实注明是“正偏离”或“负偏离”，“正偏离”指磋商服务技术要求优于竞争性磋商文件中要求，“负偏离”指磋商服务技术要求低于竞争性磋商文件中要求。响应文件中的服务技术要求或其它内容有“正偏离”的，供应商须对“正偏离”的情况单独作出说明。</w:t>
      </w:r>
    </w:p>
    <w:p>
      <w:pPr>
        <w:tabs>
          <w:tab w:val="left" w:pos="180"/>
          <w:tab w:val="left" w:pos="1620"/>
        </w:tabs>
        <w:spacing w:line="360" w:lineRule="auto"/>
        <w:ind w:firstLine="422" w:firstLineChars="200"/>
        <w:rPr>
          <w:rFonts w:hint="eastAsia" w:ascii="宋体" w:hAnsi="宋体" w:cs="宋体"/>
          <w:b/>
          <w:bCs/>
          <w:szCs w:val="21"/>
        </w:rPr>
      </w:pPr>
      <w:r>
        <w:rPr>
          <w:rFonts w:hint="eastAsia" w:ascii="宋体" w:hAnsi="宋体" w:cs="宋体"/>
          <w:b/>
          <w:bCs/>
          <w:szCs w:val="21"/>
        </w:rPr>
        <w:t>采购预算：详见竞争性磋商公告</w:t>
      </w:r>
    </w:p>
    <w:tbl>
      <w:tblPr>
        <w:tblStyle w:val="8"/>
        <w:tblpPr w:leftFromText="180" w:rightFromText="180" w:vertAnchor="text" w:tblpY="1"/>
        <w:tblOverlap w:val="never"/>
        <w:tblW w:w="8887" w:type="dxa"/>
        <w:tblInd w:w="0" w:type="dxa"/>
        <w:tblLayout w:type="fixed"/>
        <w:tblCellMar>
          <w:top w:w="0" w:type="dxa"/>
          <w:left w:w="108" w:type="dxa"/>
          <w:bottom w:w="0" w:type="dxa"/>
          <w:right w:w="108" w:type="dxa"/>
        </w:tblCellMar>
      </w:tblPr>
      <w:tblGrid>
        <w:gridCol w:w="613"/>
        <w:gridCol w:w="1124"/>
        <w:gridCol w:w="38"/>
        <w:gridCol w:w="625"/>
        <w:gridCol w:w="500"/>
        <w:gridCol w:w="5987"/>
      </w:tblGrid>
      <w:tr>
        <w:tblPrEx>
          <w:tblLayout w:type="fixed"/>
          <w:tblCellMar>
            <w:top w:w="0" w:type="dxa"/>
            <w:left w:w="108" w:type="dxa"/>
            <w:bottom w:w="0" w:type="dxa"/>
            <w:right w:w="108" w:type="dxa"/>
          </w:tblCellMar>
        </w:tblPrEx>
        <w:trPr>
          <w:trHeight w:val="20" w:hRule="atLeast"/>
        </w:trPr>
        <w:tc>
          <w:tcPr>
            <w:tcW w:w="8887"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288" w:lineRule="auto"/>
              <w:jc w:val="left"/>
              <w:rPr>
                <w:rFonts w:hint="eastAsia" w:ascii="宋体" w:hAnsi="宋体" w:cs="宋体"/>
                <w:b/>
                <w:bCs/>
                <w:kern w:val="0"/>
                <w:szCs w:val="21"/>
              </w:rPr>
            </w:pPr>
            <w:r>
              <w:rPr>
                <w:rFonts w:hint="eastAsia" w:ascii="宋体" w:hAnsi="宋体" w:cs="宋体"/>
                <w:b/>
                <w:bCs/>
                <w:kern w:val="0"/>
                <w:szCs w:val="21"/>
              </w:rPr>
              <w:t>一、采购项目需求一览表</w:t>
            </w:r>
          </w:p>
        </w:tc>
      </w:tr>
      <w:tr>
        <w:tblPrEx>
          <w:tblLayout w:type="fixed"/>
          <w:tblCellMar>
            <w:top w:w="0" w:type="dxa"/>
            <w:left w:w="108" w:type="dxa"/>
            <w:bottom w:w="0" w:type="dxa"/>
            <w:right w:w="108" w:type="dxa"/>
          </w:tblCellMar>
        </w:tblPrEx>
        <w:trPr>
          <w:trHeight w:val="20" w:hRule="atLeast"/>
        </w:trPr>
        <w:tc>
          <w:tcPr>
            <w:tcW w:w="613" w:type="dxa"/>
            <w:tcBorders>
              <w:top w:val="single" w:color="auto" w:sz="4" w:space="0"/>
              <w:left w:val="single" w:color="auto" w:sz="4" w:space="0"/>
              <w:bottom w:val="single" w:color="auto" w:sz="4" w:space="0"/>
              <w:right w:val="single" w:color="auto" w:sz="4" w:space="0"/>
            </w:tcBorders>
            <w:noWrap w:val="0"/>
            <w:vAlign w:val="center"/>
          </w:tcPr>
          <w:p>
            <w:pPr>
              <w:widowControl/>
              <w:spacing w:line="288" w:lineRule="auto"/>
              <w:jc w:val="center"/>
              <w:rPr>
                <w:rFonts w:hint="eastAsia" w:ascii="宋体" w:hAnsi="宋体" w:cs="宋体"/>
                <w:b/>
                <w:bCs/>
                <w:kern w:val="0"/>
                <w:szCs w:val="21"/>
              </w:rPr>
            </w:pPr>
            <w:r>
              <w:rPr>
                <w:rFonts w:hint="eastAsia" w:ascii="宋体" w:hAnsi="宋体" w:cs="宋体"/>
                <w:b/>
                <w:bCs/>
                <w:kern w:val="0"/>
                <w:szCs w:val="21"/>
              </w:rPr>
              <w:t>序号</w:t>
            </w:r>
          </w:p>
        </w:tc>
        <w:tc>
          <w:tcPr>
            <w:tcW w:w="1124" w:type="dxa"/>
            <w:tcBorders>
              <w:top w:val="single" w:color="auto" w:sz="4" w:space="0"/>
              <w:left w:val="single" w:color="auto" w:sz="4" w:space="0"/>
              <w:bottom w:val="single" w:color="auto" w:sz="4" w:space="0"/>
              <w:right w:val="single" w:color="auto" w:sz="4" w:space="0"/>
            </w:tcBorders>
            <w:noWrap w:val="0"/>
            <w:vAlign w:val="center"/>
          </w:tcPr>
          <w:p>
            <w:pPr>
              <w:widowControl/>
              <w:spacing w:line="288" w:lineRule="auto"/>
              <w:jc w:val="center"/>
              <w:rPr>
                <w:rFonts w:hint="eastAsia" w:ascii="宋体" w:hAnsi="宋体" w:cs="宋体"/>
                <w:b/>
                <w:bCs/>
                <w:kern w:val="0"/>
                <w:szCs w:val="21"/>
              </w:rPr>
            </w:pPr>
            <w:r>
              <w:rPr>
                <w:rFonts w:hint="eastAsia" w:ascii="宋体" w:hAnsi="宋体" w:cs="宋体"/>
                <w:b/>
                <w:bCs/>
                <w:kern w:val="0"/>
                <w:szCs w:val="21"/>
              </w:rPr>
              <w:t>服务名称</w:t>
            </w:r>
          </w:p>
        </w:tc>
        <w:tc>
          <w:tcPr>
            <w:tcW w:w="66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8" w:lineRule="auto"/>
              <w:jc w:val="center"/>
              <w:rPr>
                <w:rFonts w:hint="eastAsia" w:ascii="宋体" w:hAnsi="宋体" w:cs="宋体"/>
                <w:b/>
                <w:bCs/>
                <w:kern w:val="0"/>
                <w:szCs w:val="21"/>
              </w:rPr>
            </w:pPr>
            <w:r>
              <w:rPr>
                <w:rFonts w:hint="eastAsia" w:ascii="宋体" w:hAnsi="宋体" w:cs="宋体"/>
                <w:b/>
                <w:bCs/>
                <w:kern w:val="0"/>
                <w:szCs w:val="21"/>
              </w:rPr>
              <w:t>数量</w:t>
            </w:r>
          </w:p>
        </w:tc>
        <w:tc>
          <w:tcPr>
            <w:tcW w:w="500" w:type="dxa"/>
            <w:tcBorders>
              <w:top w:val="single" w:color="auto" w:sz="4" w:space="0"/>
              <w:left w:val="single" w:color="auto" w:sz="4" w:space="0"/>
              <w:bottom w:val="single" w:color="auto" w:sz="4" w:space="0"/>
              <w:right w:val="single" w:color="auto" w:sz="4" w:space="0"/>
            </w:tcBorders>
            <w:noWrap w:val="0"/>
            <w:vAlign w:val="center"/>
          </w:tcPr>
          <w:p>
            <w:pPr>
              <w:widowControl/>
              <w:spacing w:line="288" w:lineRule="auto"/>
              <w:jc w:val="center"/>
              <w:rPr>
                <w:rFonts w:hint="eastAsia" w:ascii="宋体" w:hAnsi="宋体" w:cs="宋体"/>
                <w:b/>
                <w:bCs/>
                <w:kern w:val="0"/>
                <w:szCs w:val="21"/>
              </w:rPr>
            </w:pPr>
            <w:r>
              <w:rPr>
                <w:rFonts w:hint="eastAsia" w:ascii="宋体" w:hAnsi="宋体" w:cs="宋体"/>
                <w:b/>
                <w:bCs/>
                <w:kern w:val="0"/>
                <w:szCs w:val="21"/>
              </w:rPr>
              <w:t>单位</w:t>
            </w:r>
          </w:p>
        </w:tc>
        <w:tc>
          <w:tcPr>
            <w:tcW w:w="5987" w:type="dxa"/>
            <w:tcBorders>
              <w:top w:val="single" w:color="auto" w:sz="4" w:space="0"/>
              <w:left w:val="single" w:color="auto" w:sz="4" w:space="0"/>
              <w:bottom w:val="single" w:color="auto" w:sz="4" w:space="0"/>
              <w:right w:val="single" w:color="auto" w:sz="4" w:space="0"/>
            </w:tcBorders>
            <w:noWrap w:val="0"/>
            <w:vAlign w:val="center"/>
          </w:tcPr>
          <w:p>
            <w:pPr>
              <w:widowControl/>
              <w:spacing w:line="288" w:lineRule="auto"/>
              <w:jc w:val="center"/>
              <w:rPr>
                <w:rFonts w:hint="eastAsia" w:ascii="宋体" w:hAnsi="宋体" w:cs="宋体"/>
                <w:b/>
                <w:bCs/>
                <w:kern w:val="0"/>
                <w:szCs w:val="21"/>
              </w:rPr>
            </w:pPr>
            <w:r>
              <w:rPr>
                <w:rFonts w:hint="eastAsia" w:ascii="宋体" w:hAnsi="宋体" w:cs="宋体"/>
                <w:b/>
                <w:bCs/>
                <w:kern w:val="0"/>
                <w:szCs w:val="21"/>
              </w:rPr>
              <w:t>技术参数要求</w:t>
            </w:r>
          </w:p>
        </w:tc>
      </w:tr>
      <w:tr>
        <w:tblPrEx>
          <w:tblLayout w:type="fixed"/>
          <w:tblCellMar>
            <w:top w:w="0" w:type="dxa"/>
            <w:left w:w="108" w:type="dxa"/>
            <w:bottom w:w="0" w:type="dxa"/>
            <w:right w:w="108" w:type="dxa"/>
          </w:tblCellMar>
        </w:tblPrEx>
        <w:trPr>
          <w:trHeight w:val="90" w:hRule="atLeast"/>
        </w:trPr>
        <w:tc>
          <w:tcPr>
            <w:tcW w:w="613" w:type="dxa"/>
            <w:tcBorders>
              <w:top w:val="single" w:color="auto" w:sz="4" w:space="0"/>
              <w:left w:val="single" w:color="auto" w:sz="4" w:space="0"/>
              <w:bottom w:val="single" w:color="auto" w:sz="4" w:space="0"/>
              <w:right w:val="single" w:color="auto" w:sz="4" w:space="0"/>
            </w:tcBorders>
            <w:noWrap w:val="0"/>
            <w:vAlign w:val="center"/>
          </w:tcPr>
          <w:p>
            <w:pPr>
              <w:widowControl/>
              <w:spacing w:line="288" w:lineRule="auto"/>
              <w:jc w:val="center"/>
              <w:textAlignment w:val="center"/>
              <w:rPr>
                <w:rFonts w:hint="eastAsia" w:ascii="宋体" w:hAnsi="宋体" w:cs="宋体"/>
                <w:szCs w:val="21"/>
              </w:rPr>
            </w:pPr>
            <w:r>
              <w:rPr>
                <w:rFonts w:hint="eastAsia" w:ascii="宋体" w:hAnsi="宋体" w:cs="宋体"/>
                <w:color w:val="000000"/>
                <w:kern w:val="0"/>
                <w:szCs w:val="21"/>
                <w:lang w:bidi="ar"/>
              </w:rPr>
              <w:t>1</w:t>
            </w:r>
          </w:p>
        </w:tc>
        <w:tc>
          <w:tcPr>
            <w:tcW w:w="1124" w:type="dxa"/>
            <w:tcBorders>
              <w:top w:val="single" w:color="auto" w:sz="4" w:space="0"/>
              <w:left w:val="single" w:color="auto" w:sz="4" w:space="0"/>
              <w:bottom w:val="single" w:color="auto" w:sz="4" w:space="0"/>
              <w:right w:val="single" w:color="auto" w:sz="4" w:space="0"/>
            </w:tcBorders>
            <w:noWrap w:val="0"/>
            <w:vAlign w:val="center"/>
          </w:tcPr>
          <w:p>
            <w:pPr>
              <w:widowControl/>
              <w:spacing w:line="288" w:lineRule="auto"/>
              <w:jc w:val="center"/>
              <w:textAlignment w:val="bottom"/>
              <w:rPr>
                <w:rFonts w:hint="eastAsia" w:ascii="宋体" w:hAnsi="宋体" w:cs="宋体"/>
                <w:szCs w:val="21"/>
              </w:rPr>
            </w:pPr>
            <w:r>
              <w:rPr>
                <w:rFonts w:hint="eastAsia" w:ascii="宋体" w:hAnsi="宋体" w:cs="宋体"/>
                <w:color w:val="333333"/>
                <w:kern w:val="0"/>
                <w:szCs w:val="21"/>
                <w:lang w:bidi="ar"/>
              </w:rPr>
              <w:t>反走私舆情信息监测平台</w:t>
            </w:r>
          </w:p>
        </w:tc>
        <w:tc>
          <w:tcPr>
            <w:tcW w:w="66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8" w:lineRule="auto"/>
              <w:jc w:val="center"/>
              <w:textAlignment w:val="center"/>
              <w:rPr>
                <w:rFonts w:hint="eastAsia" w:ascii="宋体" w:hAnsi="宋体" w:cs="宋体"/>
                <w:szCs w:val="21"/>
              </w:rPr>
            </w:pPr>
            <w:r>
              <w:rPr>
                <w:rFonts w:hint="eastAsia" w:ascii="宋体" w:hAnsi="宋体" w:cs="宋体"/>
                <w:color w:val="000000"/>
                <w:kern w:val="0"/>
                <w:szCs w:val="21"/>
                <w:lang w:bidi="ar"/>
              </w:rPr>
              <w:t>1</w:t>
            </w:r>
          </w:p>
        </w:tc>
        <w:tc>
          <w:tcPr>
            <w:tcW w:w="500" w:type="dxa"/>
            <w:tcBorders>
              <w:top w:val="single" w:color="auto" w:sz="4" w:space="0"/>
              <w:left w:val="single" w:color="auto" w:sz="4" w:space="0"/>
              <w:bottom w:val="single" w:color="auto" w:sz="4" w:space="0"/>
              <w:right w:val="single" w:color="auto" w:sz="4" w:space="0"/>
            </w:tcBorders>
            <w:noWrap w:val="0"/>
            <w:vAlign w:val="center"/>
          </w:tcPr>
          <w:p>
            <w:pPr>
              <w:widowControl/>
              <w:spacing w:line="288" w:lineRule="auto"/>
              <w:jc w:val="center"/>
              <w:textAlignment w:val="center"/>
              <w:rPr>
                <w:rFonts w:hint="eastAsia" w:ascii="宋体" w:hAnsi="宋体" w:cs="宋体"/>
                <w:szCs w:val="21"/>
              </w:rPr>
            </w:pPr>
            <w:r>
              <w:rPr>
                <w:rFonts w:hint="eastAsia" w:ascii="宋体" w:hAnsi="宋体" w:cs="宋体"/>
                <w:color w:val="000000"/>
                <w:kern w:val="0"/>
                <w:szCs w:val="21"/>
                <w:lang w:bidi="ar"/>
              </w:rPr>
              <w:t>项</w:t>
            </w:r>
          </w:p>
        </w:tc>
        <w:tc>
          <w:tcPr>
            <w:tcW w:w="5987" w:type="dxa"/>
            <w:tcBorders>
              <w:top w:val="single" w:color="auto" w:sz="4" w:space="0"/>
              <w:left w:val="single" w:color="auto" w:sz="4" w:space="0"/>
              <w:bottom w:val="single" w:color="auto" w:sz="4" w:space="0"/>
              <w:right w:val="single" w:color="auto" w:sz="4" w:space="0"/>
            </w:tcBorders>
            <w:noWrap w:val="0"/>
            <w:vAlign w:val="bottom"/>
          </w:tcPr>
          <w:p>
            <w:pPr>
              <w:spacing w:line="288" w:lineRule="auto"/>
              <w:textAlignment w:val="baseline"/>
              <w:rPr>
                <w:rFonts w:hint="eastAsia" w:ascii="宋体" w:hAnsi="宋体" w:cs="宋体"/>
                <w:b/>
                <w:color w:val="000000"/>
                <w:kern w:val="0"/>
                <w:szCs w:val="21"/>
              </w:rPr>
            </w:pPr>
            <w:r>
              <w:rPr>
                <w:rFonts w:hint="eastAsia" w:ascii="宋体" w:hAnsi="宋体" w:cs="宋体"/>
                <w:b/>
                <w:color w:val="000000"/>
                <w:kern w:val="0"/>
                <w:szCs w:val="21"/>
              </w:rPr>
              <w:t>一、技术服务：</w:t>
            </w:r>
          </w:p>
          <w:p>
            <w:pPr>
              <w:spacing w:line="288" w:lineRule="auto"/>
              <w:textAlignment w:val="baseline"/>
              <w:rPr>
                <w:rFonts w:hint="eastAsia" w:ascii="宋体" w:hAnsi="宋体" w:cs="宋体"/>
                <w:color w:val="000000"/>
                <w:kern w:val="0"/>
                <w:szCs w:val="21"/>
              </w:rPr>
            </w:pPr>
            <w:r>
              <w:rPr>
                <w:rFonts w:hint="eastAsia" w:ascii="宋体" w:hAnsi="宋体" w:cs="宋体"/>
                <w:color w:val="000000"/>
                <w:kern w:val="0"/>
                <w:szCs w:val="21"/>
              </w:rPr>
              <w:t>1.服务方搭建舆情大数据监测平台，采集范围包括报刊、电视、广播、网站、论坛、博客、微博、微信公众号、贴吧等信息，过滤无效数据，采集频率最快需达到分钟级，可实现7×24小时不间断响应采购方要求。</w:t>
            </w:r>
          </w:p>
          <w:p>
            <w:pPr>
              <w:spacing w:line="288" w:lineRule="auto"/>
              <w:textAlignment w:val="baseline"/>
              <w:rPr>
                <w:rFonts w:hint="eastAsia" w:ascii="宋体" w:hAnsi="宋体" w:cs="宋体"/>
                <w:color w:val="000000"/>
                <w:kern w:val="0"/>
                <w:szCs w:val="21"/>
              </w:rPr>
            </w:pPr>
            <w:r>
              <w:rPr>
                <w:rFonts w:hint="eastAsia" w:ascii="宋体" w:hAnsi="宋体" w:cs="宋体"/>
                <w:color w:val="000000"/>
                <w:kern w:val="0"/>
                <w:szCs w:val="21"/>
              </w:rPr>
              <w:t>2.采集范围：网站站点数量不少于20000个，论坛不少于2000个，不少于1000份电子报刊（数字报）；主流微博的趋势指标相关数据，如转发、评论、点赞等，不少于50个主流新闻客户端以及不少600万个微信公众号，采集的信息源可随时根据需要不断扩充。</w:t>
            </w:r>
          </w:p>
          <w:p>
            <w:pPr>
              <w:spacing w:line="288" w:lineRule="auto"/>
              <w:textAlignment w:val="baseline"/>
              <w:rPr>
                <w:rFonts w:hint="eastAsia" w:ascii="宋体" w:hAnsi="宋体" w:cs="宋体"/>
                <w:color w:val="000000"/>
                <w:kern w:val="0"/>
                <w:szCs w:val="21"/>
              </w:rPr>
            </w:pPr>
            <w:r>
              <w:rPr>
                <w:rFonts w:hint="eastAsia" w:ascii="宋体" w:hAnsi="宋体" w:cs="宋体"/>
                <w:color w:val="000000"/>
                <w:kern w:val="0"/>
                <w:szCs w:val="21"/>
              </w:rPr>
              <w:t>3.服务方具备针对数据的搜索采集、存储索引、智能处理、信息检索、统计和展示引擎等能力。</w:t>
            </w:r>
          </w:p>
          <w:p>
            <w:pPr>
              <w:spacing w:line="288" w:lineRule="auto"/>
              <w:textAlignment w:val="baseline"/>
              <w:rPr>
                <w:rFonts w:hint="eastAsia" w:ascii="宋体" w:hAnsi="宋体" w:cs="宋体"/>
                <w:color w:val="000000"/>
                <w:kern w:val="0"/>
                <w:szCs w:val="21"/>
              </w:rPr>
            </w:pPr>
            <w:r>
              <w:rPr>
                <w:rFonts w:hint="eastAsia" w:ascii="宋体" w:hAnsi="宋体" w:cs="宋体"/>
                <w:color w:val="000000"/>
                <w:kern w:val="0"/>
                <w:szCs w:val="21"/>
              </w:rPr>
              <w:t>4.服务方投标商品具备网页端、手机ISO版和安卓版等多种展现形式。</w:t>
            </w:r>
          </w:p>
          <w:p>
            <w:pPr>
              <w:spacing w:line="288" w:lineRule="auto"/>
              <w:textAlignment w:val="baseline"/>
              <w:rPr>
                <w:rFonts w:hint="eastAsia" w:ascii="宋体" w:hAnsi="宋体" w:cs="宋体"/>
                <w:color w:val="000000"/>
                <w:kern w:val="0"/>
                <w:szCs w:val="21"/>
              </w:rPr>
            </w:pPr>
            <w:r>
              <w:rPr>
                <w:rFonts w:hint="eastAsia" w:ascii="宋体" w:hAnsi="宋体" w:cs="宋体"/>
                <w:color w:val="000000"/>
                <w:kern w:val="0"/>
                <w:szCs w:val="21"/>
              </w:rPr>
              <w:t>5.服务方能够采集网页中的标题、作者、来源、日期时间、摘要、发布人、发布链接等原数据信息，并对内容进行存储和保留。</w:t>
            </w:r>
          </w:p>
          <w:p>
            <w:pPr>
              <w:spacing w:line="288" w:lineRule="auto"/>
              <w:textAlignment w:val="baseline"/>
              <w:rPr>
                <w:rFonts w:hint="eastAsia" w:ascii="宋体" w:hAnsi="宋体" w:cs="宋体"/>
                <w:color w:val="000000"/>
                <w:kern w:val="0"/>
                <w:szCs w:val="21"/>
              </w:rPr>
            </w:pPr>
            <w:r>
              <w:rPr>
                <w:rFonts w:hint="eastAsia" w:ascii="宋体" w:hAnsi="宋体" w:cs="宋体"/>
                <w:color w:val="000000"/>
                <w:kern w:val="0"/>
                <w:szCs w:val="21"/>
              </w:rPr>
              <w:t>6.服务方能够按照采购方要求，按转载量、时间排序等展示结果将数据进行归类，并统计相似新闻数量，方便采购方查阅和浏览每条数据。</w:t>
            </w:r>
          </w:p>
          <w:p>
            <w:pPr>
              <w:spacing w:line="288" w:lineRule="auto"/>
              <w:textAlignment w:val="baseline"/>
              <w:rPr>
                <w:rFonts w:hint="eastAsia" w:ascii="宋体" w:hAnsi="宋体" w:cs="宋体"/>
                <w:color w:val="000000"/>
                <w:kern w:val="0"/>
                <w:szCs w:val="21"/>
              </w:rPr>
            </w:pPr>
            <w:r>
              <w:rPr>
                <w:rFonts w:hint="eastAsia" w:ascii="宋体" w:hAnsi="宋体" w:cs="宋体"/>
                <w:color w:val="000000"/>
                <w:kern w:val="0"/>
                <w:szCs w:val="21"/>
              </w:rPr>
              <w:t>7.服务方具备对数据按数量、媒体、对比、走势等智能图表分析的能力。</w:t>
            </w:r>
          </w:p>
          <w:p>
            <w:pPr>
              <w:pStyle w:val="5"/>
              <w:spacing w:line="288" w:lineRule="auto"/>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8.服务方需具备对正负面信息进行语义分析，实现对信息属性进行判断的能力。</w:t>
            </w:r>
          </w:p>
          <w:p>
            <w:pPr>
              <w:pStyle w:val="5"/>
              <w:spacing w:line="288" w:lineRule="auto"/>
              <w:jc w:val="left"/>
              <w:rPr>
                <w:rFonts w:hint="eastAsia" w:ascii="宋体" w:hAnsi="宋体" w:eastAsia="宋体" w:cs="宋体"/>
                <w:color w:val="000000"/>
                <w:sz w:val="21"/>
                <w:szCs w:val="21"/>
              </w:rPr>
            </w:pPr>
          </w:p>
          <w:p>
            <w:pPr>
              <w:spacing w:line="288" w:lineRule="auto"/>
              <w:textAlignment w:val="baseline"/>
              <w:rPr>
                <w:rFonts w:hint="eastAsia" w:ascii="宋体" w:hAnsi="宋体" w:cs="宋体"/>
                <w:b/>
                <w:color w:val="000000"/>
                <w:kern w:val="0"/>
                <w:szCs w:val="21"/>
              </w:rPr>
            </w:pPr>
            <w:r>
              <w:rPr>
                <w:rFonts w:hint="eastAsia" w:ascii="宋体" w:hAnsi="宋体" w:cs="宋体"/>
                <w:kern w:val="0"/>
                <w:szCs w:val="21"/>
              </w:rPr>
              <w:t>二、</w:t>
            </w:r>
            <w:r>
              <w:rPr>
                <w:rFonts w:hint="eastAsia" w:ascii="宋体" w:hAnsi="宋体" w:cs="宋体"/>
                <w:b/>
                <w:color w:val="000000"/>
                <w:kern w:val="0"/>
                <w:szCs w:val="21"/>
              </w:rPr>
              <w:t>舆情信息采集内容</w:t>
            </w:r>
          </w:p>
          <w:p>
            <w:pPr>
              <w:spacing w:line="288" w:lineRule="auto"/>
              <w:textAlignment w:val="baseline"/>
              <w:rPr>
                <w:rFonts w:hint="eastAsia" w:ascii="宋体" w:hAnsi="宋体" w:cs="宋体"/>
                <w:color w:val="000000"/>
                <w:kern w:val="0"/>
                <w:szCs w:val="21"/>
              </w:rPr>
            </w:pPr>
            <w:r>
              <w:rPr>
                <w:rFonts w:hint="eastAsia" w:ascii="宋体" w:hAnsi="宋体" w:cs="宋体"/>
                <w:bCs/>
                <w:color w:val="000000"/>
                <w:kern w:val="0"/>
                <w:szCs w:val="21"/>
              </w:rPr>
              <w:t>（1）</w:t>
            </w:r>
            <w:r>
              <w:rPr>
                <w:rFonts w:hint="eastAsia" w:ascii="宋体" w:hAnsi="宋体" w:cs="宋体"/>
                <w:color w:val="000000"/>
                <w:kern w:val="0"/>
                <w:szCs w:val="21"/>
              </w:rPr>
              <w:t>通过对国内主流媒体（包括平面媒体、新闻网站、博客/论坛/贴吧、微博博主、国内主流新闻APP）7X24进行实时监测采集，掌握各种新闻媒体对采购人关注的报道和评论；</w:t>
            </w:r>
          </w:p>
          <w:p>
            <w:pPr>
              <w:spacing w:line="288" w:lineRule="auto"/>
              <w:textAlignment w:val="baseline"/>
              <w:rPr>
                <w:rFonts w:hint="eastAsia" w:ascii="宋体" w:hAnsi="宋体" w:cs="宋体"/>
                <w:color w:val="000000"/>
                <w:kern w:val="0"/>
                <w:szCs w:val="21"/>
              </w:rPr>
            </w:pPr>
            <w:r>
              <w:rPr>
                <w:rFonts w:hint="eastAsia" w:ascii="宋体" w:hAnsi="宋体" w:cs="宋体"/>
                <w:color w:val="000000"/>
                <w:kern w:val="0"/>
                <w:szCs w:val="21"/>
              </w:rPr>
              <w:t>（2）可通过设置关键词进行精准采集监测，</w:t>
            </w:r>
            <w:bookmarkStart w:id="1" w:name="OLE_LINK48"/>
            <w:bookmarkStart w:id="2" w:name="OLE_LINK47"/>
            <w:bookmarkStart w:id="3" w:name="OLE_LINK49"/>
            <w:r>
              <w:rPr>
                <w:rFonts w:hint="eastAsia" w:ascii="宋体" w:hAnsi="宋体" w:cs="宋体"/>
                <w:color w:val="000000"/>
                <w:kern w:val="0"/>
                <w:szCs w:val="21"/>
              </w:rPr>
              <w:t>监测</w:t>
            </w:r>
            <w:bookmarkEnd w:id="1"/>
            <w:bookmarkEnd w:id="2"/>
            <w:bookmarkEnd w:id="3"/>
            <w:r>
              <w:rPr>
                <w:rFonts w:hint="eastAsia" w:ascii="宋体" w:hAnsi="宋体" w:cs="宋体"/>
                <w:color w:val="000000"/>
                <w:kern w:val="0"/>
                <w:szCs w:val="21"/>
              </w:rPr>
              <w:t>的关键词可根据采购人实际需要随时进行调整；通过抓取信息和敏感词库信息的对比，将涉及所有敏感和负面信息集中、实时展现；汇聚相关行业分类信息的最新资讯，帮助了解境内相关行业发展动向，提供决策参考。</w:t>
            </w:r>
          </w:p>
          <w:p>
            <w:pPr>
              <w:spacing w:line="288" w:lineRule="auto"/>
              <w:textAlignment w:val="baseline"/>
              <w:rPr>
                <w:rFonts w:hint="eastAsia" w:ascii="宋体" w:hAnsi="宋体" w:cs="宋体"/>
                <w:color w:val="000000"/>
                <w:kern w:val="0"/>
                <w:szCs w:val="21"/>
              </w:rPr>
            </w:pPr>
            <w:r>
              <w:rPr>
                <w:rFonts w:hint="eastAsia" w:ascii="宋体" w:hAnsi="宋体" w:cs="宋体"/>
                <w:color w:val="000000"/>
                <w:kern w:val="0"/>
                <w:szCs w:val="21"/>
              </w:rPr>
              <w:t>（3）重点监测：对相关舆情信息进行全面监测、集中展示，监测重点关注人物的网媒、纸媒、论坛、博客及微博情况。</w:t>
            </w:r>
          </w:p>
          <w:p>
            <w:pPr>
              <w:pStyle w:val="5"/>
              <w:spacing w:line="288" w:lineRule="auto"/>
              <w:ind w:firstLine="0" w:firstLineChars="0"/>
              <w:jc w:val="left"/>
              <w:rPr>
                <w:rFonts w:hint="eastAsia" w:ascii="宋体" w:hAnsi="宋体" w:eastAsia="宋体" w:cs="宋体"/>
                <w:color w:val="000000"/>
                <w:sz w:val="21"/>
                <w:szCs w:val="21"/>
              </w:rPr>
            </w:pPr>
            <w:r>
              <w:rPr>
                <w:rFonts w:hint="eastAsia" w:ascii="宋体" w:hAnsi="宋体" w:eastAsia="宋体" w:cs="宋体"/>
                <w:color w:val="000000"/>
                <w:sz w:val="21"/>
                <w:szCs w:val="21"/>
              </w:rPr>
              <w:t>（4）统计分析：提供平台全部舆情信息的定量统计，按照时间、媒体转发量等元素统计分析舆情信息，并以饼图、柱状图、折线走势图等方式展现近期的舆情趋势。</w:t>
            </w:r>
          </w:p>
        </w:tc>
      </w:tr>
      <w:tr>
        <w:tblPrEx>
          <w:tblLayout w:type="fixed"/>
          <w:tblCellMar>
            <w:top w:w="0" w:type="dxa"/>
            <w:left w:w="108" w:type="dxa"/>
            <w:bottom w:w="0" w:type="dxa"/>
            <w:right w:w="108" w:type="dxa"/>
          </w:tblCellMar>
        </w:tblPrEx>
        <w:trPr>
          <w:trHeight w:val="20" w:hRule="atLeast"/>
        </w:trPr>
        <w:tc>
          <w:tcPr>
            <w:tcW w:w="613" w:type="dxa"/>
            <w:tcBorders>
              <w:top w:val="single" w:color="auto" w:sz="4" w:space="0"/>
              <w:left w:val="single" w:color="auto" w:sz="4" w:space="0"/>
              <w:bottom w:val="single" w:color="auto" w:sz="4" w:space="0"/>
              <w:right w:val="single" w:color="auto" w:sz="4" w:space="0"/>
            </w:tcBorders>
            <w:noWrap w:val="0"/>
            <w:vAlign w:val="center"/>
          </w:tcPr>
          <w:p>
            <w:pPr>
              <w:widowControl/>
              <w:spacing w:line="288" w:lineRule="auto"/>
              <w:jc w:val="center"/>
              <w:textAlignment w:val="center"/>
              <w:rPr>
                <w:rFonts w:hint="eastAsia" w:ascii="宋体" w:hAnsi="宋体" w:cs="宋体"/>
                <w:szCs w:val="21"/>
              </w:rPr>
            </w:pPr>
            <w:r>
              <w:rPr>
                <w:rFonts w:hint="eastAsia" w:ascii="宋体" w:hAnsi="宋体" w:cs="宋体"/>
                <w:color w:val="000000"/>
                <w:kern w:val="0"/>
                <w:szCs w:val="21"/>
                <w:lang w:bidi="ar"/>
              </w:rPr>
              <w:t>2</w:t>
            </w:r>
          </w:p>
        </w:tc>
        <w:tc>
          <w:tcPr>
            <w:tcW w:w="1124" w:type="dxa"/>
            <w:tcBorders>
              <w:top w:val="single" w:color="auto" w:sz="4" w:space="0"/>
              <w:left w:val="single" w:color="auto" w:sz="4" w:space="0"/>
              <w:bottom w:val="single" w:color="auto" w:sz="4" w:space="0"/>
              <w:right w:val="single" w:color="auto" w:sz="4" w:space="0"/>
            </w:tcBorders>
            <w:noWrap w:val="0"/>
            <w:vAlign w:val="center"/>
          </w:tcPr>
          <w:p>
            <w:pPr>
              <w:widowControl/>
              <w:spacing w:line="288" w:lineRule="auto"/>
              <w:jc w:val="center"/>
              <w:textAlignment w:val="center"/>
              <w:rPr>
                <w:rFonts w:hint="eastAsia" w:ascii="宋体" w:hAnsi="宋体" w:cs="宋体"/>
                <w:szCs w:val="21"/>
              </w:rPr>
            </w:pP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反走私舆情分析服务</w:t>
            </w:r>
          </w:p>
        </w:tc>
        <w:tc>
          <w:tcPr>
            <w:tcW w:w="66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8" w:lineRule="auto"/>
              <w:jc w:val="center"/>
              <w:textAlignment w:val="center"/>
              <w:rPr>
                <w:rFonts w:hint="eastAsia" w:ascii="宋体" w:hAnsi="宋体" w:cs="宋体"/>
                <w:szCs w:val="21"/>
              </w:rPr>
            </w:pPr>
            <w:r>
              <w:rPr>
                <w:rFonts w:hint="eastAsia" w:ascii="宋体" w:hAnsi="宋体" w:cs="宋体"/>
                <w:color w:val="000000"/>
                <w:kern w:val="0"/>
                <w:szCs w:val="21"/>
                <w:lang w:bidi="ar"/>
              </w:rPr>
              <w:t>1</w:t>
            </w:r>
          </w:p>
        </w:tc>
        <w:tc>
          <w:tcPr>
            <w:tcW w:w="500" w:type="dxa"/>
            <w:tcBorders>
              <w:top w:val="single" w:color="auto" w:sz="4" w:space="0"/>
              <w:left w:val="single" w:color="auto" w:sz="4" w:space="0"/>
              <w:bottom w:val="single" w:color="auto" w:sz="4" w:space="0"/>
              <w:right w:val="single" w:color="auto" w:sz="4" w:space="0"/>
            </w:tcBorders>
            <w:noWrap w:val="0"/>
            <w:vAlign w:val="center"/>
          </w:tcPr>
          <w:p>
            <w:pPr>
              <w:widowControl/>
              <w:spacing w:line="288" w:lineRule="auto"/>
              <w:jc w:val="center"/>
              <w:textAlignment w:val="center"/>
              <w:rPr>
                <w:rFonts w:hint="eastAsia" w:ascii="宋体" w:hAnsi="宋体" w:cs="宋体"/>
                <w:szCs w:val="21"/>
              </w:rPr>
            </w:pPr>
            <w:r>
              <w:rPr>
                <w:rFonts w:hint="eastAsia" w:ascii="宋体" w:hAnsi="宋体" w:cs="宋体"/>
                <w:color w:val="000000"/>
                <w:kern w:val="0"/>
                <w:szCs w:val="21"/>
                <w:lang w:bidi="ar"/>
              </w:rPr>
              <w:t>项</w:t>
            </w:r>
          </w:p>
        </w:tc>
        <w:tc>
          <w:tcPr>
            <w:tcW w:w="5987" w:type="dxa"/>
            <w:tcBorders>
              <w:top w:val="single" w:color="auto" w:sz="4" w:space="0"/>
              <w:left w:val="single" w:color="auto" w:sz="4" w:space="0"/>
              <w:bottom w:val="single" w:color="auto" w:sz="4" w:space="0"/>
              <w:right w:val="single" w:color="auto" w:sz="4" w:space="0"/>
            </w:tcBorders>
            <w:noWrap w:val="0"/>
            <w:vAlign w:val="bottom"/>
          </w:tcPr>
          <w:p>
            <w:pPr>
              <w:spacing w:line="288" w:lineRule="auto"/>
              <w:textAlignment w:val="baseline"/>
              <w:rPr>
                <w:rFonts w:hint="eastAsia" w:ascii="宋体" w:hAnsi="宋体" w:cs="宋体"/>
                <w:b/>
                <w:bCs/>
                <w:szCs w:val="21"/>
              </w:rPr>
            </w:pPr>
            <w:r>
              <w:rPr>
                <w:rFonts w:hint="eastAsia" w:ascii="宋体" w:hAnsi="宋体" w:cs="宋体"/>
                <w:b/>
                <w:bCs/>
                <w:szCs w:val="21"/>
              </w:rPr>
              <w:t>一、舆情报告服务</w:t>
            </w:r>
          </w:p>
          <w:p>
            <w:pPr>
              <w:spacing w:line="288" w:lineRule="auto"/>
              <w:textAlignment w:val="baseline"/>
              <w:rPr>
                <w:rFonts w:hint="eastAsia" w:ascii="宋体" w:hAnsi="宋体" w:cs="宋体"/>
                <w:szCs w:val="21"/>
              </w:rPr>
            </w:pPr>
            <w:r>
              <w:rPr>
                <w:rFonts w:hint="eastAsia" w:ascii="宋体" w:hAnsi="宋体" w:cs="宋体"/>
                <w:szCs w:val="21"/>
              </w:rPr>
              <w:t>（1）在抓取数据的基础上，每月对产生的舆情信息进行归纳，盘点重要舆情事件，帮助采购人了解整体舆情态势。投标方具有较高的舆情汇总分析能力，有专业的舆情工作团队，能够为采购人提供高水准的舆情分析报告。</w:t>
            </w:r>
          </w:p>
          <w:p>
            <w:pPr>
              <w:spacing w:line="288" w:lineRule="auto"/>
              <w:textAlignment w:val="baseline"/>
              <w:rPr>
                <w:rFonts w:hint="eastAsia" w:ascii="宋体" w:hAnsi="宋体" w:cs="宋体"/>
                <w:szCs w:val="21"/>
              </w:rPr>
            </w:pPr>
            <w:r>
              <w:rPr>
                <w:rFonts w:hint="eastAsia" w:ascii="宋体" w:hAnsi="宋体" w:cs="宋体"/>
                <w:szCs w:val="21"/>
              </w:rPr>
              <w:t>（2）舆情年报服务：每年对产生的舆情信息进行归纳，盘点重要舆情事件，提供高水准的舆情分析年度报告，帮助采购人了解全年舆情状况。</w:t>
            </w:r>
          </w:p>
          <w:p>
            <w:pPr>
              <w:spacing w:line="288" w:lineRule="auto"/>
              <w:textAlignment w:val="baseline"/>
              <w:rPr>
                <w:rFonts w:hint="eastAsia" w:ascii="宋体" w:hAnsi="宋体" w:cs="宋体"/>
                <w:szCs w:val="21"/>
              </w:rPr>
            </w:pPr>
            <w:r>
              <w:rPr>
                <w:rFonts w:hint="eastAsia" w:ascii="宋体" w:hAnsi="宋体" w:cs="宋体"/>
                <w:szCs w:val="21"/>
              </w:rPr>
              <w:t>（3）舆情专项报告：就发生的热点/突发/政策性事件进行归类总结、现状分析、趋势研判，梳理网民意见和专家建议，借鉴域外经验，全面呈现该事件的发展状况、面临问题和可行性建议。</w:t>
            </w:r>
          </w:p>
          <w:p>
            <w:pPr>
              <w:widowControl/>
              <w:spacing w:line="288" w:lineRule="auto"/>
              <w:jc w:val="left"/>
              <w:textAlignment w:val="bottom"/>
              <w:rPr>
                <w:rFonts w:hint="eastAsia" w:ascii="宋体" w:hAnsi="宋体" w:cs="宋体"/>
                <w:szCs w:val="21"/>
              </w:rPr>
            </w:pPr>
            <w:r>
              <w:rPr>
                <w:rFonts w:hint="eastAsia" w:ascii="宋体" w:hAnsi="宋体" w:cs="宋体"/>
                <w:szCs w:val="21"/>
              </w:rPr>
              <w:t>（4）安排专业舆情应对工作人员1名进行驻点服务。</w:t>
            </w:r>
          </w:p>
          <w:p>
            <w:pPr>
              <w:spacing w:line="288" w:lineRule="auto"/>
              <w:textAlignment w:val="baseline"/>
              <w:rPr>
                <w:rFonts w:hint="eastAsia" w:ascii="宋体" w:hAnsi="宋体" w:cs="宋体"/>
                <w:b/>
                <w:color w:val="000000"/>
                <w:kern w:val="0"/>
                <w:szCs w:val="21"/>
              </w:rPr>
            </w:pPr>
          </w:p>
          <w:p>
            <w:pPr>
              <w:spacing w:line="288" w:lineRule="auto"/>
              <w:textAlignment w:val="baseline"/>
              <w:rPr>
                <w:rFonts w:hint="eastAsia" w:ascii="宋体" w:hAnsi="宋体" w:cs="宋体"/>
                <w:b/>
                <w:color w:val="000000"/>
                <w:kern w:val="0"/>
                <w:szCs w:val="21"/>
              </w:rPr>
            </w:pPr>
            <w:r>
              <w:rPr>
                <w:rFonts w:hint="eastAsia" w:ascii="宋体" w:hAnsi="宋体" w:cs="宋体"/>
                <w:b/>
                <w:color w:val="000000"/>
                <w:kern w:val="0"/>
                <w:szCs w:val="21"/>
              </w:rPr>
              <w:t>二、舆情预警服务</w:t>
            </w:r>
          </w:p>
          <w:p>
            <w:pPr>
              <w:spacing w:line="288" w:lineRule="auto"/>
              <w:ind w:firstLine="420" w:firstLineChars="200"/>
              <w:textAlignment w:val="baseline"/>
              <w:rPr>
                <w:rFonts w:hint="eastAsia" w:ascii="宋体" w:hAnsi="宋体" w:cs="宋体"/>
                <w:bCs/>
                <w:color w:val="000000"/>
                <w:kern w:val="0"/>
                <w:szCs w:val="21"/>
              </w:rPr>
            </w:pPr>
            <w:r>
              <w:rPr>
                <w:rFonts w:hint="eastAsia" w:ascii="宋体" w:hAnsi="宋体" w:cs="宋体"/>
                <w:bCs/>
                <w:color w:val="000000"/>
                <w:kern w:val="0"/>
                <w:szCs w:val="21"/>
              </w:rPr>
              <w:t>实时扫描全国性、行业性和区域性重点网站，通过系统过滤、人工甄别等手段，及时获取关注的热点信息、敏感信息和倾向性信息，并实施预警。</w:t>
            </w:r>
          </w:p>
          <w:p>
            <w:pPr>
              <w:spacing w:line="288" w:lineRule="auto"/>
              <w:textAlignment w:val="baseline"/>
              <w:rPr>
                <w:rFonts w:hint="eastAsia" w:ascii="宋体" w:hAnsi="宋体" w:cs="宋体"/>
                <w:bCs/>
                <w:color w:val="000000"/>
                <w:kern w:val="0"/>
                <w:szCs w:val="21"/>
              </w:rPr>
            </w:pPr>
            <w:r>
              <w:rPr>
                <w:rFonts w:hint="eastAsia" w:ascii="宋体" w:hAnsi="宋体" w:cs="宋体"/>
                <w:bCs/>
                <w:color w:val="000000"/>
                <w:kern w:val="0"/>
                <w:szCs w:val="21"/>
              </w:rPr>
              <w:t>（1）系统自动预警：通过平台内网页端和手机客户端软件，可随时随地查看舆情数据，接收舆情预警，提供全年24小时不间断服务。</w:t>
            </w:r>
          </w:p>
          <w:p>
            <w:pPr>
              <w:pStyle w:val="2"/>
              <w:spacing w:line="288" w:lineRule="auto"/>
              <w:ind w:firstLine="0"/>
              <w:rPr>
                <w:rFonts w:hint="eastAsia" w:ascii="宋体" w:hAnsi="宋体" w:cs="宋体"/>
                <w:bCs/>
                <w:color w:val="000000"/>
                <w:kern w:val="0"/>
                <w:szCs w:val="21"/>
              </w:rPr>
            </w:pPr>
            <w:r>
              <w:rPr>
                <w:rFonts w:hint="eastAsia" w:ascii="宋体" w:hAnsi="宋体" w:cs="宋体"/>
                <w:bCs/>
                <w:color w:val="000000"/>
                <w:kern w:val="0"/>
                <w:szCs w:val="21"/>
              </w:rPr>
              <w:t>（2）人工预警：具备 7×24 小时的人工预警服务机制，协助采购人建立舆情危机预警流程。预警方式为：电话、手机短信、邮件、QQ、微信等方式。</w:t>
            </w:r>
          </w:p>
          <w:p>
            <w:pPr>
              <w:pStyle w:val="2"/>
              <w:spacing w:line="288" w:lineRule="auto"/>
              <w:rPr>
                <w:rFonts w:hint="eastAsia" w:ascii="宋体" w:hAnsi="宋体" w:cs="宋体"/>
                <w:bCs/>
                <w:color w:val="000000"/>
                <w:kern w:val="0"/>
                <w:szCs w:val="21"/>
              </w:rPr>
            </w:pPr>
          </w:p>
          <w:p>
            <w:pPr>
              <w:spacing w:line="288" w:lineRule="auto"/>
              <w:textAlignment w:val="baseline"/>
              <w:rPr>
                <w:rFonts w:hint="eastAsia" w:ascii="宋体" w:hAnsi="宋体" w:cs="宋体"/>
                <w:b/>
                <w:color w:val="000000"/>
                <w:kern w:val="0"/>
                <w:szCs w:val="21"/>
              </w:rPr>
            </w:pPr>
            <w:r>
              <w:rPr>
                <w:rFonts w:hint="eastAsia" w:ascii="宋体" w:hAnsi="宋体" w:cs="宋体"/>
                <w:b/>
                <w:color w:val="000000"/>
                <w:kern w:val="0"/>
                <w:szCs w:val="21"/>
              </w:rPr>
              <w:t>三、其他服务</w:t>
            </w:r>
          </w:p>
          <w:p>
            <w:pPr>
              <w:spacing w:line="288" w:lineRule="auto"/>
              <w:textAlignment w:val="baseline"/>
              <w:rPr>
                <w:rFonts w:hint="eastAsia" w:ascii="宋体" w:hAnsi="宋体" w:cs="宋体"/>
                <w:color w:val="000000"/>
                <w:kern w:val="0"/>
                <w:szCs w:val="21"/>
              </w:rPr>
            </w:pPr>
            <w:r>
              <w:rPr>
                <w:rFonts w:hint="eastAsia" w:ascii="宋体" w:hAnsi="宋体" w:cs="宋体"/>
                <w:color w:val="000000"/>
                <w:kern w:val="0"/>
                <w:szCs w:val="21"/>
              </w:rPr>
              <w:t>（1）危机管理服务：包括危机事件及敏感时间段重点监测管理，根据危机事件舆情发展态势和需求，必要时可以提供24小时人工实时监测和即时分析报告，为采购方提供处置建议和舆情研判，直至舆情消退。</w:t>
            </w:r>
          </w:p>
          <w:p>
            <w:pPr>
              <w:pStyle w:val="2"/>
              <w:spacing w:line="288" w:lineRule="auto"/>
              <w:ind w:firstLine="0"/>
              <w:rPr>
                <w:rFonts w:hint="eastAsia" w:ascii="宋体" w:hAnsi="宋体" w:cs="宋体"/>
                <w:bCs/>
                <w:color w:val="000000"/>
                <w:kern w:val="0"/>
                <w:szCs w:val="21"/>
              </w:rPr>
            </w:pPr>
            <w:r>
              <w:rPr>
                <w:rFonts w:hint="eastAsia" w:ascii="宋体" w:hAnsi="宋体" w:cs="宋体"/>
                <w:color w:val="000000"/>
                <w:kern w:val="0"/>
                <w:szCs w:val="21"/>
              </w:rPr>
              <w:t>（2）手机客户端服务：拥有成熟的移动互联网技术，能够为采购人制定手机客户端的舆情监测平台，与PC端数据同步，方便随时掌握互联网信息。</w:t>
            </w:r>
          </w:p>
        </w:tc>
      </w:tr>
      <w:tr>
        <w:tblPrEx>
          <w:tblLayout w:type="fixed"/>
          <w:tblCellMar>
            <w:top w:w="0" w:type="dxa"/>
            <w:left w:w="108" w:type="dxa"/>
            <w:bottom w:w="0" w:type="dxa"/>
            <w:right w:w="108" w:type="dxa"/>
          </w:tblCellMar>
        </w:tblPrEx>
        <w:trPr>
          <w:trHeight w:val="20" w:hRule="atLeast"/>
        </w:trPr>
        <w:tc>
          <w:tcPr>
            <w:tcW w:w="613" w:type="dxa"/>
            <w:tcBorders>
              <w:top w:val="single" w:color="auto" w:sz="4" w:space="0"/>
              <w:left w:val="single" w:color="auto" w:sz="4" w:space="0"/>
              <w:bottom w:val="single" w:color="auto" w:sz="4" w:space="0"/>
              <w:right w:val="single" w:color="auto" w:sz="4" w:space="0"/>
            </w:tcBorders>
            <w:noWrap w:val="0"/>
            <w:vAlign w:val="center"/>
          </w:tcPr>
          <w:p>
            <w:pPr>
              <w:widowControl/>
              <w:spacing w:line="288"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1124" w:type="dxa"/>
            <w:tcBorders>
              <w:top w:val="single" w:color="auto" w:sz="4" w:space="0"/>
              <w:left w:val="single" w:color="auto" w:sz="4" w:space="0"/>
              <w:bottom w:val="single" w:color="auto" w:sz="4" w:space="0"/>
              <w:right w:val="single" w:color="auto" w:sz="4" w:space="0"/>
            </w:tcBorders>
            <w:noWrap w:val="0"/>
            <w:vAlign w:val="center"/>
          </w:tcPr>
          <w:p>
            <w:pPr>
              <w:widowControl/>
              <w:spacing w:line="288"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媒体宣传服务</w:t>
            </w:r>
          </w:p>
        </w:tc>
        <w:tc>
          <w:tcPr>
            <w:tcW w:w="66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8"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500" w:type="dxa"/>
            <w:tcBorders>
              <w:top w:val="single" w:color="auto" w:sz="4" w:space="0"/>
              <w:left w:val="single" w:color="auto" w:sz="4" w:space="0"/>
              <w:bottom w:val="single" w:color="auto" w:sz="4" w:space="0"/>
              <w:right w:val="single" w:color="auto" w:sz="4" w:space="0"/>
            </w:tcBorders>
            <w:noWrap w:val="0"/>
            <w:vAlign w:val="center"/>
          </w:tcPr>
          <w:p>
            <w:pPr>
              <w:widowControl/>
              <w:spacing w:line="288" w:lineRule="auto"/>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项</w:t>
            </w:r>
          </w:p>
        </w:tc>
        <w:tc>
          <w:tcPr>
            <w:tcW w:w="5987" w:type="dxa"/>
            <w:tcBorders>
              <w:top w:val="single" w:color="auto" w:sz="4" w:space="0"/>
              <w:left w:val="single" w:color="auto" w:sz="4" w:space="0"/>
              <w:bottom w:val="single" w:color="auto" w:sz="4" w:space="0"/>
              <w:right w:val="single" w:color="auto" w:sz="4" w:space="0"/>
            </w:tcBorders>
            <w:noWrap w:val="0"/>
            <w:vAlign w:val="bottom"/>
          </w:tcPr>
          <w:p>
            <w:pPr>
              <w:spacing w:line="288" w:lineRule="auto"/>
              <w:textAlignment w:val="baseline"/>
              <w:rPr>
                <w:rFonts w:hint="eastAsia" w:ascii="宋体" w:hAnsi="宋体" w:cs="宋体"/>
                <w:b/>
                <w:color w:val="000000"/>
                <w:kern w:val="0"/>
                <w:szCs w:val="21"/>
              </w:rPr>
            </w:pPr>
            <w:r>
              <w:rPr>
                <w:rFonts w:hint="eastAsia" w:ascii="宋体" w:hAnsi="宋体" w:cs="宋体"/>
                <w:b/>
                <w:color w:val="000000"/>
                <w:kern w:val="0"/>
                <w:szCs w:val="21"/>
              </w:rPr>
              <w:t>媒体宣传服务：</w:t>
            </w:r>
          </w:p>
          <w:p>
            <w:pPr>
              <w:widowControl/>
              <w:spacing w:line="288" w:lineRule="auto"/>
              <w:ind w:firstLine="420" w:firstLineChars="200"/>
              <w:jc w:val="left"/>
              <w:textAlignment w:val="bottom"/>
              <w:rPr>
                <w:rFonts w:hint="eastAsia" w:ascii="宋体" w:hAnsi="宋体" w:cs="宋体"/>
                <w:szCs w:val="21"/>
              </w:rPr>
            </w:pPr>
            <w:r>
              <w:rPr>
                <w:rFonts w:hint="eastAsia" w:ascii="宋体" w:hAnsi="宋体" w:cs="宋体"/>
                <w:color w:val="000000"/>
                <w:kern w:val="0"/>
                <w:szCs w:val="21"/>
              </w:rPr>
              <w:t>结合反走私舆情工作，树立正面的舆论宣传导向，协助采购方在中央级主流媒体刊发广西反走私政策宣传及工作成效。</w:t>
            </w:r>
          </w:p>
        </w:tc>
      </w:tr>
      <w:tr>
        <w:tblPrEx>
          <w:tblLayout w:type="fixed"/>
          <w:tblCellMar>
            <w:top w:w="0" w:type="dxa"/>
            <w:left w:w="108" w:type="dxa"/>
            <w:bottom w:w="0" w:type="dxa"/>
            <w:right w:w="108" w:type="dxa"/>
          </w:tblCellMar>
        </w:tblPrEx>
        <w:trPr>
          <w:trHeight w:val="440" w:hRule="atLeast"/>
        </w:trPr>
        <w:tc>
          <w:tcPr>
            <w:tcW w:w="8887"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before="63" w:after="63" w:line="288" w:lineRule="auto"/>
              <w:jc w:val="left"/>
              <w:rPr>
                <w:rFonts w:hint="eastAsia" w:ascii="宋体" w:hAnsi="宋体" w:cs="宋体"/>
                <w:b/>
                <w:szCs w:val="21"/>
              </w:rPr>
            </w:pPr>
            <w:r>
              <w:rPr>
                <w:rFonts w:hint="eastAsia" w:ascii="宋体" w:hAnsi="宋体" w:cs="宋体"/>
                <w:b/>
                <w:szCs w:val="21"/>
              </w:rPr>
              <w:t>二、▲商务要求</w:t>
            </w:r>
          </w:p>
        </w:tc>
      </w:tr>
      <w:tr>
        <w:tblPrEx>
          <w:tblLayout w:type="fixed"/>
          <w:tblCellMar>
            <w:top w:w="0" w:type="dxa"/>
            <w:left w:w="108" w:type="dxa"/>
            <w:bottom w:w="0" w:type="dxa"/>
            <w:right w:w="108" w:type="dxa"/>
          </w:tblCellMar>
        </w:tblPrEx>
        <w:trPr>
          <w:trHeight w:val="20" w:hRule="atLeast"/>
        </w:trPr>
        <w:tc>
          <w:tcPr>
            <w:tcW w:w="1775" w:type="dxa"/>
            <w:gridSpan w:val="3"/>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bCs/>
                <w:szCs w:val="21"/>
              </w:rPr>
            </w:pPr>
            <w:r>
              <w:rPr>
                <w:rFonts w:hint="eastAsia" w:ascii="宋体" w:hAnsi="宋体" w:cs="宋体"/>
                <w:bCs/>
                <w:szCs w:val="21"/>
              </w:rPr>
              <w:t>项目</w:t>
            </w:r>
          </w:p>
        </w:tc>
        <w:tc>
          <w:tcPr>
            <w:tcW w:w="7112" w:type="dxa"/>
            <w:gridSpan w:val="3"/>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szCs w:val="21"/>
              </w:rPr>
            </w:pPr>
            <w:r>
              <w:rPr>
                <w:rFonts w:hint="eastAsia" w:ascii="宋体" w:hAnsi="宋体" w:cs="宋体"/>
                <w:szCs w:val="21"/>
              </w:rPr>
              <w:t>要求</w:t>
            </w:r>
          </w:p>
        </w:tc>
      </w:tr>
      <w:tr>
        <w:tblPrEx>
          <w:tblLayout w:type="fixed"/>
          <w:tblCellMar>
            <w:top w:w="0" w:type="dxa"/>
            <w:left w:w="108" w:type="dxa"/>
            <w:bottom w:w="0" w:type="dxa"/>
            <w:right w:w="108" w:type="dxa"/>
          </w:tblCellMar>
        </w:tblPrEx>
        <w:trPr>
          <w:trHeight w:val="20" w:hRule="atLeast"/>
        </w:trPr>
        <w:tc>
          <w:tcPr>
            <w:tcW w:w="1775" w:type="dxa"/>
            <w:gridSpan w:val="3"/>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b/>
                <w:bCs/>
                <w:szCs w:val="21"/>
              </w:rPr>
            </w:pPr>
            <w:r>
              <w:rPr>
                <w:rFonts w:hint="eastAsia" w:ascii="宋体" w:hAnsi="宋体" w:cs="宋体"/>
                <w:b/>
                <w:bCs/>
                <w:szCs w:val="21"/>
              </w:rPr>
              <w:t>售后服务</w:t>
            </w:r>
          </w:p>
          <w:p>
            <w:pPr>
              <w:spacing w:line="288" w:lineRule="auto"/>
              <w:jc w:val="center"/>
              <w:rPr>
                <w:rFonts w:hint="eastAsia" w:ascii="宋体" w:hAnsi="宋体" w:cs="宋体"/>
                <w:b/>
                <w:bCs/>
                <w:szCs w:val="21"/>
              </w:rPr>
            </w:pPr>
            <w:r>
              <w:rPr>
                <w:rFonts w:hint="eastAsia" w:ascii="宋体" w:hAnsi="宋体" w:cs="宋体"/>
                <w:b/>
                <w:bCs/>
                <w:szCs w:val="21"/>
              </w:rPr>
              <w:t>及其他要求</w:t>
            </w:r>
          </w:p>
        </w:tc>
        <w:tc>
          <w:tcPr>
            <w:tcW w:w="7112" w:type="dxa"/>
            <w:gridSpan w:val="3"/>
            <w:tcBorders>
              <w:top w:val="single" w:color="auto" w:sz="4" w:space="0"/>
              <w:left w:val="single" w:color="auto" w:sz="4" w:space="0"/>
              <w:bottom w:val="single" w:color="auto" w:sz="4" w:space="0"/>
              <w:right w:val="single" w:color="auto" w:sz="4" w:space="0"/>
            </w:tcBorders>
            <w:noWrap w:val="0"/>
            <w:vAlign w:val="center"/>
          </w:tcPr>
          <w:p>
            <w:pPr>
              <w:spacing w:line="288" w:lineRule="auto"/>
              <w:rPr>
                <w:rFonts w:hint="eastAsia" w:ascii="宋体" w:hAnsi="宋体" w:cs="宋体"/>
                <w:szCs w:val="21"/>
              </w:rPr>
            </w:pPr>
            <w:r>
              <w:rPr>
                <w:rFonts w:hint="eastAsia" w:ascii="宋体" w:hAnsi="宋体" w:cs="宋体"/>
                <w:szCs w:val="21"/>
              </w:rPr>
              <w:t>1、成交人应每月对采购人有关用户至少进行1 次上门回访，对舆情工作进行总结探讨，并根据用户意见完善服务。</w:t>
            </w:r>
          </w:p>
          <w:p>
            <w:pPr>
              <w:spacing w:line="288" w:lineRule="auto"/>
              <w:rPr>
                <w:rFonts w:hint="eastAsia" w:ascii="宋体" w:hAnsi="宋体" w:cs="宋体"/>
                <w:szCs w:val="21"/>
              </w:rPr>
            </w:pPr>
            <w:r>
              <w:rPr>
                <w:rFonts w:hint="eastAsia" w:ascii="宋体" w:hAnsi="宋体" w:cs="宋体"/>
                <w:szCs w:val="21"/>
              </w:rPr>
              <w:t>2、成交人必须针对本项目设立服务团队，要求保证人员基本固定。在合同签订期，成交人必须严格按照既定的条款履行维护义务，必须遵守采购人有关规章制度及安全保密等各项规定。</w:t>
            </w:r>
          </w:p>
          <w:p>
            <w:pPr>
              <w:spacing w:line="288" w:lineRule="auto"/>
              <w:rPr>
                <w:rFonts w:hint="eastAsia" w:ascii="宋体" w:hAnsi="宋体" w:cs="宋体"/>
                <w:szCs w:val="21"/>
              </w:rPr>
            </w:pPr>
            <w:r>
              <w:rPr>
                <w:rFonts w:hint="eastAsia" w:ascii="宋体" w:hAnsi="宋体" w:cs="宋体"/>
                <w:szCs w:val="21"/>
              </w:rPr>
              <w:t>3、为保证售后服务的及时性和专业性，要求成交供应商在本地设有长期办事机构，具备提供广西本地化服务的能力。</w:t>
            </w:r>
          </w:p>
          <w:p>
            <w:pPr>
              <w:spacing w:line="288" w:lineRule="auto"/>
              <w:rPr>
                <w:rFonts w:hint="eastAsia" w:ascii="宋体" w:hAnsi="宋体" w:cs="宋体"/>
                <w:szCs w:val="21"/>
              </w:rPr>
            </w:pPr>
            <w:r>
              <w:rPr>
                <w:rFonts w:hint="eastAsia" w:ascii="宋体" w:hAnsi="宋体" w:cs="宋体"/>
                <w:szCs w:val="21"/>
              </w:rPr>
              <w:t>4、服务响应时间：</w:t>
            </w:r>
          </w:p>
          <w:p>
            <w:pPr>
              <w:spacing w:line="288" w:lineRule="auto"/>
              <w:rPr>
                <w:rFonts w:hint="eastAsia" w:ascii="宋体" w:hAnsi="宋体" w:cs="宋体"/>
                <w:szCs w:val="21"/>
              </w:rPr>
            </w:pPr>
            <w:r>
              <w:rPr>
                <w:rFonts w:hint="eastAsia" w:ascii="宋体" w:hAnsi="宋体" w:cs="宋体"/>
                <w:szCs w:val="21"/>
              </w:rPr>
              <w:t>（1）现场支持：接到采购人处理问题通知后30分钟内到采购人指定现场，并在2小时内处理好常规性问题。</w:t>
            </w:r>
          </w:p>
          <w:p>
            <w:pPr>
              <w:spacing w:line="288" w:lineRule="auto"/>
              <w:rPr>
                <w:rFonts w:hint="eastAsia" w:ascii="宋体" w:hAnsi="宋体" w:cs="宋体"/>
                <w:szCs w:val="21"/>
              </w:rPr>
            </w:pPr>
            <w:r>
              <w:rPr>
                <w:rFonts w:hint="eastAsia" w:ascii="宋体" w:hAnsi="宋体" w:cs="宋体"/>
                <w:szCs w:val="21"/>
              </w:rPr>
              <w:t>（2）远程支持：提供7×24小时电话/QQ/微信等方式支持服务。</w:t>
            </w:r>
          </w:p>
        </w:tc>
      </w:tr>
      <w:tr>
        <w:tblPrEx>
          <w:tblLayout w:type="fixed"/>
          <w:tblCellMar>
            <w:top w:w="0" w:type="dxa"/>
            <w:left w:w="108" w:type="dxa"/>
            <w:bottom w:w="0" w:type="dxa"/>
            <w:right w:w="108" w:type="dxa"/>
          </w:tblCellMar>
        </w:tblPrEx>
        <w:trPr>
          <w:trHeight w:val="20" w:hRule="atLeast"/>
        </w:trPr>
        <w:tc>
          <w:tcPr>
            <w:tcW w:w="1775" w:type="dxa"/>
            <w:gridSpan w:val="3"/>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b/>
                <w:bCs/>
                <w:szCs w:val="21"/>
              </w:rPr>
            </w:pPr>
            <w:r>
              <w:rPr>
                <w:rFonts w:hint="eastAsia" w:ascii="宋体" w:hAnsi="宋体" w:cs="宋体"/>
                <w:b/>
                <w:bCs/>
                <w:szCs w:val="21"/>
              </w:rPr>
              <w:t>交付时间及地点</w:t>
            </w:r>
          </w:p>
        </w:tc>
        <w:tc>
          <w:tcPr>
            <w:tcW w:w="7112" w:type="dxa"/>
            <w:gridSpan w:val="3"/>
            <w:tcBorders>
              <w:top w:val="single" w:color="auto" w:sz="4" w:space="0"/>
              <w:left w:val="single" w:color="auto" w:sz="4" w:space="0"/>
              <w:bottom w:val="single" w:color="auto" w:sz="4" w:space="0"/>
              <w:right w:val="single" w:color="auto" w:sz="4" w:space="0"/>
            </w:tcBorders>
            <w:noWrap w:val="0"/>
            <w:vAlign w:val="center"/>
          </w:tcPr>
          <w:p>
            <w:pPr>
              <w:spacing w:line="288" w:lineRule="auto"/>
              <w:rPr>
                <w:rFonts w:hint="eastAsia" w:ascii="宋体" w:hAnsi="宋体" w:cs="宋体"/>
                <w:szCs w:val="21"/>
              </w:rPr>
            </w:pPr>
            <w:r>
              <w:rPr>
                <w:rFonts w:hint="eastAsia" w:ascii="宋体" w:hAnsi="宋体" w:cs="宋体"/>
                <w:szCs w:val="21"/>
              </w:rPr>
              <w:t>交付时间：签订合同后10天内交付，服务时长2年。</w:t>
            </w:r>
          </w:p>
          <w:p>
            <w:pPr>
              <w:spacing w:line="288" w:lineRule="auto"/>
              <w:rPr>
                <w:rFonts w:hint="eastAsia" w:ascii="宋体" w:hAnsi="宋体" w:cs="宋体"/>
                <w:szCs w:val="21"/>
              </w:rPr>
            </w:pPr>
            <w:r>
              <w:rPr>
                <w:rFonts w:hint="eastAsia" w:ascii="宋体" w:hAnsi="宋体" w:cs="宋体"/>
                <w:szCs w:val="21"/>
              </w:rPr>
              <w:t>交付地点：</w:t>
            </w:r>
            <w:r>
              <w:rPr>
                <w:rFonts w:hint="eastAsia" w:ascii="宋体" w:hAnsi="宋体" w:cs="宋体"/>
                <w:szCs w:val="21"/>
                <w:lang w:val="zh-CN"/>
              </w:rPr>
              <w:t>广西壮族自治区南宁市良庆区平乐大道10号中国—东盟经贸中心3号楼9楼</w:t>
            </w:r>
            <w:r>
              <w:rPr>
                <w:rFonts w:hint="eastAsia" w:ascii="宋体" w:hAnsi="宋体" w:cs="宋体"/>
                <w:szCs w:val="21"/>
              </w:rPr>
              <w:t>。</w:t>
            </w:r>
          </w:p>
        </w:tc>
      </w:tr>
      <w:tr>
        <w:tblPrEx>
          <w:tblLayout w:type="fixed"/>
          <w:tblCellMar>
            <w:top w:w="0" w:type="dxa"/>
            <w:left w:w="108" w:type="dxa"/>
            <w:bottom w:w="0" w:type="dxa"/>
            <w:right w:w="108" w:type="dxa"/>
          </w:tblCellMar>
        </w:tblPrEx>
        <w:trPr>
          <w:trHeight w:val="20" w:hRule="atLeast"/>
        </w:trPr>
        <w:tc>
          <w:tcPr>
            <w:tcW w:w="1775" w:type="dxa"/>
            <w:gridSpan w:val="3"/>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b/>
                <w:bCs/>
                <w:szCs w:val="21"/>
              </w:rPr>
            </w:pPr>
            <w:r>
              <w:rPr>
                <w:rFonts w:hint="eastAsia" w:ascii="宋体" w:hAnsi="宋体" w:cs="宋体"/>
                <w:b/>
                <w:bCs/>
                <w:szCs w:val="21"/>
              </w:rPr>
              <w:t>付款方式</w:t>
            </w:r>
          </w:p>
        </w:tc>
        <w:tc>
          <w:tcPr>
            <w:tcW w:w="7112" w:type="dxa"/>
            <w:gridSpan w:val="3"/>
            <w:tcBorders>
              <w:top w:val="single" w:color="auto" w:sz="4" w:space="0"/>
              <w:left w:val="single" w:color="auto" w:sz="4" w:space="0"/>
              <w:bottom w:val="single" w:color="auto" w:sz="4" w:space="0"/>
              <w:right w:val="single" w:color="auto" w:sz="4" w:space="0"/>
            </w:tcBorders>
            <w:noWrap w:val="0"/>
            <w:vAlign w:val="center"/>
          </w:tcPr>
          <w:p>
            <w:pPr>
              <w:spacing w:line="288" w:lineRule="auto"/>
              <w:rPr>
                <w:rFonts w:hint="eastAsia" w:ascii="宋体" w:hAnsi="宋体" w:cs="宋体"/>
                <w:szCs w:val="21"/>
              </w:rPr>
            </w:pPr>
            <w:r>
              <w:rPr>
                <w:rFonts w:hint="eastAsia" w:ascii="宋体" w:hAnsi="宋体" w:cs="宋体"/>
                <w:szCs w:val="21"/>
              </w:rPr>
              <w:t>合同签订后10个工作日内，乙方开具35%合同款发票给甲方，甲方收到发票并在财政下拨资金后预付35%合同款给乙方；合同签订期满1年后10个工作日内，乙方开具35%合同款发票给甲方，甲方收到发票并在财政下拨资金后再预付35%合同款给乙方；合同期满并经验收合格，乙方开具30%合同款发票给甲方，甲方收到发票并在财政下拨资金后支付30%合同款给乙方。</w:t>
            </w:r>
          </w:p>
        </w:tc>
      </w:tr>
      <w:tr>
        <w:tblPrEx>
          <w:tblLayout w:type="fixed"/>
          <w:tblCellMar>
            <w:top w:w="0" w:type="dxa"/>
            <w:left w:w="108" w:type="dxa"/>
            <w:bottom w:w="0" w:type="dxa"/>
            <w:right w:w="108" w:type="dxa"/>
          </w:tblCellMar>
        </w:tblPrEx>
        <w:trPr>
          <w:trHeight w:val="20" w:hRule="atLeast"/>
        </w:trPr>
        <w:tc>
          <w:tcPr>
            <w:tcW w:w="1775" w:type="dxa"/>
            <w:gridSpan w:val="3"/>
            <w:tcBorders>
              <w:top w:val="single" w:color="auto" w:sz="4" w:space="0"/>
              <w:left w:val="single" w:color="auto" w:sz="4" w:space="0"/>
              <w:bottom w:val="single" w:color="auto" w:sz="4" w:space="0"/>
              <w:right w:val="single" w:color="auto" w:sz="4" w:space="0"/>
            </w:tcBorders>
            <w:noWrap w:val="0"/>
            <w:vAlign w:val="center"/>
          </w:tcPr>
          <w:p>
            <w:pPr>
              <w:spacing w:line="288" w:lineRule="auto"/>
              <w:jc w:val="center"/>
              <w:rPr>
                <w:rFonts w:hint="eastAsia" w:ascii="宋体" w:hAnsi="宋体" w:cs="宋体"/>
                <w:b/>
                <w:bCs/>
                <w:szCs w:val="21"/>
              </w:rPr>
            </w:pPr>
            <w:r>
              <w:rPr>
                <w:rFonts w:hint="eastAsia" w:ascii="宋体" w:hAnsi="宋体" w:cs="宋体"/>
                <w:b/>
                <w:bCs/>
                <w:szCs w:val="21"/>
              </w:rPr>
              <w:t>验收标准</w:t>
            </w:r>
          </w:p>
        </w:tc>
        <w:tc>
          <w:tcPr>
            <w:tcW w:w="7112" w:type="dxa"/>
            <w:gridSpan w:val="3"/>
            <w:tcBorders>
              <w:top w:val="single" w:color="auto" w:sz="4" w:space="0"/>
              <w:left w:val="single" w:color="auto" w:sz="4" w:space="0"/>
              <w:bottom w:val="single" w:color="auto" w:sz="4" w:space="0"/>
              <w:right w:val="single" w:color="auto" w:sz="4" w:space="0"/>
            </w:tcBorders>
            <w:noWrap w:val="0"/>
            <w:vAlign w:val="center"/>
          </w:tcPr>
          <w:p>
            <w:pPr>
              <w:spacing w:line="288" w:lineRule="auto"/>
              <w:rPr>
                <w:rFonts w:hint="eastAsia" w:ascii="宋体" w:hAnsi="宋体" w:cs="宋体"/>
                <w:szCs w:val="21"/>
              </w:rPr>
            </w:pPr>
            <w:r>
              <w:rPr>
                <w:rFonts w:hint="eastAsia" w:ascii="宋体" w:hAnsi="宋体" w:cs="宋体"/>
                <w:szCs w:val="21"/>
              </w:rPr>
              <w:t>按照采购文件及响应文件响应的技术要求的各项指标进行验收，并符合现行国家相关标准、行业标准、地方标准或者其他标准、规范。</w:t>
            </w:r>
          </w:p>
        </w:tc>
      </w:tr>
    </w:tbl>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center"/>
                          </w:pPr>
                          <w:r>
                            <w:fldChar w:fldCharType="begin"/>
                          </w:r>
                          <w:r>
                            <w:instrText xml:space="preserve"> PAGE   \* MERGEFORMAT </w:instrText>
                          </w:r>
                          <w:r>
                            <w:fldChar w:fldCharType="separate"/>
                          </w:r>
                          <w:r>
                            <w:rPr>
                              <w:lang w:val="zh-CN"/>
                            </w:rP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path/>
              <v:fill on="f" focussize="0,0"/>
              <v:stroke on="f"/>
              <v:imagedata o:title=""/>
              <o:lock v:ext="edit" aspectratio="f"/>
              <v:textbox inset="0mm,0mm,0mm,0mm" style="mso-fit-shape-to-text:t;">
                <w:txbxContent>
                  <w:p>
                    <w:pPr>
                      <w:pStyle w:val="7"/>
                      <w:jc w:val="center"/>
                    </w:pPr>
                    <w:r>
                      <w:fldChar w:fldCharType="begin"/>
                    </w:r>
                    <w:r>
                      <w:instrText xml:space="preserve"> PAGE   \* MERGEFORMAT </w:instrText>
                    </w:r>
                    <w:r>
                      <w:fldChar w:fldCharType="separate"/>
                    </w:r>
                    <w:r>
                      <w:rPr>
                        <w:lang w:val="zh-CN"/>
                      </w:rPr>
                      <w:t>26</w:t>
                    </w:r>
                    <w:r>
                      <w:fldChar w:fldCharType="end"/>
                    </w:r>
                  </w:p>
                </w:txbxContent>
              </v:textbox>
            </v:shape>
          </w:pict>
        </mc:Fallback>
      </mc:AlternateConten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8CEB78"/>
    <w:multiLevelType w:val="singleLevel"/>
    <w:tmpl w:val="EB8CEB78"/>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3C62C9"/>
    <w:rsid w:val="623C6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9">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Indent"/>
    <w:basedOn w:val="1"/>
    <w:uiPriority w:val="0"/>
    <w:pPr>
      <w:ind w:firstLine="420"/>
    </w:pPr>
    <w:rPr>
      <w:szCs w:val="20"/>
    </w:rPr>
  </w:style>
  <w:style w:type="paragraph" w:styleId="4">
    <w:name w:val="Body Text"/>
    <w:basedOn w:val="1"/>
    <w:next w:val="5"/>
    <w:unhideWhenUsed/>
    <w:uiPriority w:val="0"/>
    <w:pPr>
      <w:spacing w:after="120"/>
    </w:pPr>
  </w:style>
  <w:style w:type="paragraph" w:styleId="5">
    <w:name w:val="Body Text First Indent 2"/>
    <w:basedOn w:val="6"/>
    <w:qFormat/>
    <w:uiPriority w:val="0"/>
    <w:pPr>
      <w:ind w:firstLine="420" w:firstLineChars="200"/>
    </w:pPr>
  </w:style>
  <w:style w:type="paragraph" w:styleId="6">
    <w:name w:val="Body Text Indent"/>
    <w:basedOn w:val="1"/>
    <w:qFormat/>
    <w:uiPriority w:val="0"/>
    <w:pPr>
      <w:ind w:firstLine="830" w:firstLineChars="352"/>
    </w:pPr>
    <w:rPr>
      <w:rFonts w:ascii="仿宋_GB2312" w:eastAsia="仿宋_GB2312"/>
      <w:kern w:val="0"/>
      <w:sz w:val="32"/>
      <w:szCs w:val="20"/>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2022-06-02T08:27:00Z</dcterms:created>
  <dc:creator>Administrator</dc:creator>
  <cp:lastModifiedBy>Administrator</cp:lastModifiedBy>
  <dcterms:modified xsi:type="dcterms:W3CDTF">2022-06-02T08:27:59Z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